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BE0176">
        <w:rPr>
          <w:rFonts w:ascii="Times New Roman" w:hAnsi="Times New Roman" w:cs="Times New Roman"/>
          <w:b/>
          <w:sz w:val="32"/>
          <w:szCs w:val="32"/>
        </w:rPr>
        <w:t>математики Курбанова З.И.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r w:rsidR="00B063A6" w:rsidRP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t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.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me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/</w:t>
            </w:r>
            <w:proofErr w:type="spell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chinarsosh</w:t>
            </w:r>
            <w:proofErr w:type="spell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2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776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76EA8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E0176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5114643</TotalTime>
  <Pages>4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комп5</cp:lastModifiedBy>
  <cp:revision>69</cp:revision>
  <dcterms:created xsi:type="dcterms:W3CDTF">2022-09-21T14:31:00Z</dcterms:created>
  <dcterms:modified xsi:type="dcterms:W3CDTF">2022-11-23T11:35:00Z</dcterms:modified>
</cp:coreProperties>
</file>